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81B2" w14:textId="77777777" w:rsidR="008F021D" w:rsidRPr="008F021D" w:rsidRDefault="008F021D" w:rsidP="008F021D">
      <w:pPr>
        <w:shd w:val="clear" w:color="auto" w:fill="000000" w:themeFill="text1"/>
        <w:jc w:val="center"/>
        <w:rPr>
          <w:rFonts w:ascii="Verdana" w:hAnsi="Verdana"/>
          <w:noProof/>
        </w:rPr>
      </w:pPr>
      <w:r w:rsidRPr="008F021D">
        <w:rPr>
          <w:rFonts w:ascii="Verdana" w:hAnsi="Verdana"/>
          <w:noProof/>
        </w:rPr>
        <w:t>San Diego City College LVN-RN 30-Unit Option Information Packet</w:t>
      </w:r>
    </w:p>
    <w:p w14:paraId="37A3703E" w14:textId="77777777" w:rsidR="008F021D" w:rsidRPr="008F021D" w:rsidRDefault="008F021D" w:rsidP="008F021D">
      <w:pPr>
        <w:jc w:val="center"/>
        <w:rPr>
          <w:rFonts w:ascii="Verdana" w:hAnsi="Verdana"/>
          <w:sz w:val="24"/>
          <w:szCs w:val="24"/>
        </w:rPr>
      </w:pPr>
    </w:p>
    <w:p w14:paraId="1415C7A1" w14:textId="77777777" w:rsidR="008F021D" w:rsidRPr="008F021D" w:rsidRDefault="008F021D" w:rsidP="008F021D">
      <w:pPr>
        <w:jc w:val="center"/>
        <w:rPr>
          <w:rFonts w:ascii="Verdana" w:hAnsi="Verdana"/>
          <w:b/>
          <w:sz w:val="24"/>
          <w:szCs w:val="24"/>
        </w:rPr>
      </w:pPr>
      <w:r w:rsidRPr="008F021D">
        <w:rPr>
          <w:rFonts w:ascii="Verdana" w:hAnsi="Verdana"/>
          <w:b/>
          <w:sz w:val="24"/>
          <w:szCs w:val="24"/>
        </w:rPr>
        <w:t>Contact Information</w:t>
      </w:r>
    </w:p>
    <w:p w14:paraId="22981B72" w14:textId="77777777" w:rsidR="008F021D" w:rsidRDefault="008F021D" w:rsidP="008F021D">
      <w:pPr>
        <w:jc w:val="center"/>
        <w:rPr>
          <w:rStyle w:val="Hyperlink"/>
          <w:rFonts w:ascii="Verdana" w:hAnsi="Verdana"/>
          <w:b/>
          <w:sz w:val="24"/>
          <w:szCs w:val="24"/>
        </w:rPr>
      </w:pPr>
      <w:hyperlink r:id="rId7" w:history="1">
        <w:r w:rsidRPr="00494D17">
          <w:rPr>
            <w:rStyle w:val="Hyperlink"/>
            <w:rFonts w:ascii="Verdana" w:hAnsi="Verdana"/>
            <w:b/>
            <w:sz w:val="24"/>
            <w:szCs w:val="24"/>
          </w:rPr>
          <w:t>https://www.sdcity.edu/academics/schools-programs/math-sci-nurse/nursing/index.aspx</w:t>
        </w:r>
      </w:hyperlink>
    </w:p>
    <w:p w14:paraId="4061A17B" w14:textId="77777777" w:rsidR="008F021D" w:rsidRDefault="008F021D" w:rsidP="008F021D">
      <w:pPr>
        <w:rPr>
          <w:rStyle w:val="Hyperlink"/>
          <w:rFonts w:ascii="Verdana" w:hAnsi="Verdana"/>
          <w:b/>
          <w:sz w:val="24"/>
          <w:szCs w:val="24"/>
          <w:u w:val="none"/>
        </w:rPr>
      </w:pPr>
    </w:p>
    <w:p w14:paraId="7C7CC6F1" w14:textId="77777777" w:rsidR="008F021D" w:rsidRDefault="008F021D" w:rsidP="008F021D">
      <w:pPr>
        <w:rPr>
          <w:rStyle w:val="Hyperlink"/>
          <w:rFonts w:ascii="Verdana" w:hAnsi="Verdana"/>
          <w:b/>
          <w:sz w:val="24"/>
          <w:szCs w:val="24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Email:</w:t>
      </w:r>
      <w:r w:rsidRPr="00494D17">
        <w:rPr>
          <w:rFonts w:ascii="Verdana" w:hAnsi="Verdana"/>
          <w:b/>
          <w:sz w:val="24"/>
          <w:szCs w:val="24"/>
        </w:rPr>
        <w:t xml:space="preserve"> </w:t>
      </w:r>
      <w:hyperlink r:id="rId8" w:history="1">
        <w:r w:rsidRPr="00494D17">
          <w:rPr>
            <w:rStyle w:val="Hyperlink"/>
            <w:rFonts w:ascii="Verdana" w:hAnsi="Verdana"/>
            <w:b/>
            <w:sz w:val="24"/>
            <w:szCs w:val="24"/>
          </w:rPr>
          <w:t>citynursing@sdccd.edu</w:t>
        </w:r>
      </w:hyperlink>
    </w:p>
    <w:p w14:paraId="59E914E5" w14:textId="77777777" w:rsidR="00495FF5" w:rsidRDefault="00495FF5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Phone number: 619-388-3441</w:t>
      </w:r>
    </w:p>
    <w:p w14:paraId="5DD36D15" w14:textId="77777777" w:rsidR="00495FF5" w:rsidRDefault="00495FF5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Award Type: Certificate of Achievement</w:t>
      </w:r>
    </w:p>
    <w:p w14:paraId="130C9AF2" w14:textId="77777777" w:rsidR="00FE1AC2" w:rsidRDefault="00495FF5" w:rsidP="008F021D">
      <w:pPr>
        <w:rPr>
          <w:rFonts w:ascii="Verdana" w:hAnsi="Verdana"/>
        </w:rPr>
      </w:pPr>
      <w:r w:rsidRPr="00495FF5">
        <w:rPr>
          <w:rFonts w:ascii="Verdana" w:hAnsi="Verdana"/>
        </w:rPr>
        <w:t xml:space="preserve">The LVN “30-unit” option (Certificate of Achievement) is another alternative to becoming eligible to take the National Council Licensure Examination for Registered Nurses (NCLEX-RN) and pursue a career as a “non-graduate” registered nurse in the state of California. The student choosing this option is NOT considered a graduate of the nursing program or the college. Most other states do not recognize California's LVN “30-unit” option and will not issue RN licenses to these LVNs. Applicants to the “30-unit” option must meet with the LVN-to-RN program director for advisement. </w:t>
      </w:r>
    </w:p>
    <w:p w14:paraId="65A0E0FF" w14:textId="77777777" w:rsidR="00A11185" w:rsidRDefault="00495FF5" w:rsidP="008F021D">
      <w:pPr>
        <w:rPr>
          <w:rFonts w:ascii="Verdana" w:hAnsi="Verdana"/>
        </w:rPr>
      </w:pPr>
      <w:r w:rsidRPr="00495FF5">
        <w:rPr>
          <w:rFonts w:ascii="Verdana" w:hAnsi="Verdana"/>
        </w:rPr>
        <w:t>The “30-unit” option requires current</w:t>
      </w:r>
      <w:r>
        <w:rPr>
          <w:rFonts w:ascii="Verdana" w:hAnsi="Verdana"/>
        </w:rPr>
        <w:t xml:space="preserve"> valid</w:t>
      </w:r>
      <w:r w:rsidRPr="00495FF5">
        <w:rPr>
          <w:rFonts w:ascii="Verdana" w:hAnsi="Verdana"/>
        </w:rPr>
        <w:t xml:space="preserve"> licensed vocational nurse (LVN) licensure. For recent vocational nursing graduates waiting to take the National Council Examination for Practical Nurses (NCLEX-PN), continuation in the program is contingent upon passing the licensure examination. Upon completion of the 30-unit option, the </w:t>
      </w:r>
      <w:r w:rsidRPr="00A11185">
        <w:rPr>
          <w:rFonts w:ascii="Verdana" w:hAnsi="Verdana"/>
        </w:rPr>
        <w:t>student is eligible to take the National Council Licensure Examination for Registered Nurses (NCLEX-RN).</w:t>
      </w:r>
      <w:r w:rsidR="009C2CED" w:rsidRPr="00A11185">
        <w:rPr>
          <w:rFonts w:ascii="Verdana" w:hAnsi="Verdana"/>
        </w:rPr>
        <w:t xml:space="preserve"> </w:t>
      </w:r>
      <w:r w:rsidR="007F4BF3">
        <w:rPr>
          <w:rFonts w:ascii="Verdana" w:hAnsi="Verdana"/>
        </w:rPr>
        <w:t xml:space="preserve">(Section 1429 of BRN Rules and Regulations). </w:t>
      </w:r>
      <w:r w:rsidR="00073686">
        <w:rPr>
          <w:rFonts w:ascii="Verdana" w:hAnsi="Verdana"/>
        </w:rPr>
        <w:t>Completion of the 30-unit option program excludes the student from obtaining an Associate of Science Degree in Nursing from the San Diego City College community District.</w:t>
      </w:r>
    </w:p>
    <w:p w14:paraId="67E4817B" w14:textId="77777777" w:rsidR="007F4BF3" w:rsidRDefault="007F4BF3" w:rsidP="008F021D">
      <w:pPr>
        <w:rPr>
          <w:rFonts w:ascii="Verdana" w:hAnsi="Verdana"/>
        </w:rPr>
      </w:pPr>
      <w:r>
        <w:rPr>
          <w:rFonts w:ascii="Verdana" w:hAnsi="Verdana"/>
        </w:rPr>
        <w:t>Additional Information concerning the LVN 30 unit option is available from the California Board of Registered Nursing (BRN)</w:t>
      </w:r>
      <w:r w:rsidR="002349B6">
        <w:rPr>
          <w:rFonts w:ascii="Verdana" w:hAnsi="Verdana"/>
        </w:rPr>
        <w:t xml:space="preserve">, </w:t>
      </w:r>
      <w:proofErr w:type="spellStart"/>
      <w:r w:rsidR="002349B6">
        <w:rPr>
          <w:rFonts w:ascii="Verdana" w:hAnsi="Verdana"/>
        </w:rPr>
        <w:t>P.O.Box</w:t>
      </w:r>
      <w:proofErr w:type="spellEnd"/>
      <w:r>
        <w:rPr>
          <w:rFonts w:ascii="Verdana" w:hAnsi="Verdana"/>
        </w:rPr>
        <w:t xml:space="preserve"> 944210, </w:t>
      </w:r>
      <w:r w:rsidR="002349B6">
        <w:rPr>
          <w:rFonts w:ascii="Verdana" w:hAnsi="Verdana"/>
        </w:rPr>
        <w:t>Sacramento, CA</w:t>
      </w:r>
      <w:r>
        <w:rPr>
          <w:rFonts w:ascii="Verdana" w:hAnsi="Verdana"/>
        </w:rPr>
        <w:t xml:space="preserve"> 94244-2100 and the website </w:t>
      </w:r>
      <w:hyperlink r:id="rId9" w:history="1">
        <w:r w:rsidRPr="007F4BF3">
          <w:rPr>
            <w:rStyle w:val="Hyperlink"/>
            <w:rFonts w:ascii="Verdana" w:hAnsi="Verdana"/>
          </w:rPr>
          <w:t>https://www.rn.ca.gov/contact.shtml</w:t>
        </w:r>
      </w:hyperlink>
    </w:p>
    <w:p w14:paraId="44484CA3" w14:textId="77777777" w:rsidR="007F4BF3" w:rsidRDefault="007F4BF3" w:rsidP="008F021D">
      <w:pPr>
        <w:rPr>
          <w:rFonts w:ascii="Verdana" w:hAnsi="Verdana"/>
        </w:rPr>
      </w:pPr>
      <w:r>
        <w:rPr>
          <w:rFonts w:ascii="Verdana" w:hAnsi="Verdana"/>
        </w:rPr>
        <w:t xml:space="preserve">The San Diego City College Nursing Education Program 30-unit option (non-degree) program is a </w:t>
      </w:r>
      <w:r w:rsidR="002349B6">
        <w:rPr>
          <w:rFonts w:ascii="Verdana" w:hAnsi="Verdana"/>
        </w:rPr>
        <w:t>three-semester</w:t>
      </w:r>
      <w:r>
        <w:rPr>
          <w:rFonts w:ascii="Verdana" w:hAnsi="Verdana"/>
        </w:rPr>
        <w:t xml:space="preserve"> program following complete of 15 units of science admission requirements the student applies for entrance. The applicants accepted must completed the LVN-RN transition course</w:t>
      </w:r>
      <w:r w:rsidR="00073686">
        <w:rPr>
          <w:rFonts w:ascii="Verdana" w:hAnsi="Verdana"/>
        </w:rPr>
        <w:t xml:space="preserve"> during the spring semester and upon successful completion will enter the third semester in the fall. </w:t>
      </w:r>
    </w:p>
    <w:p w14:paraId="24B0D3D8" w14:textId="77777777" w:rsidR="00073686" w:rsidRDefault="00073686" w:rsidP="008F021D">
      <w:pPr>
        <w:rPr>
          <w:rFonts w:ascii="Verdana" w:hAnsi="Verdana"/>
        </w:rPr>
      </w:pPr>
    </w:p>
    <w:p w14:paraId="2EBBDC03" w14:textId="77777777" w:rsidR="00073686" w:rsidRDefault="00073686" w:rsidP="008F021D">
      <w:pPr>
        <w:rPr>
          <w:rFonts w:ascii="Verdana" w:hAnsi="Verdana"/>
        </w:rPr>
      </w:pPr>
    </w:p>
    <w:p w14:paraId="77F4310F" w14:textId="77777777" w:rsidR="00073686" w:rsidRDefault="00073686" w:rsidP="008F021D">
      <w:pPr>
        <w:rPr>
          <w:rFonts w:ascii="Verdana" w:hAnsi="Verdana"/>
        </w:rPr>
      </w:pPr>
      <w:r>
        <w:rPr>
          <w:rFonts w:ascii="Verdana" w:hAnsi="Verdana"/>
        </w:rPr>
        <w:lastRenderedPageBreak/>
        <w:t>If interested in the 30-unit option certificate o</w:t>
      </w:r>
      <w:r w:rsidR="002349B6">
        <w:rPr>
          <w:rFonts w:ascii="Verdana" w:hAnsi="Verdana"/>
        </w:rPr>
        <w:t xml:space="preserve">f achievement program, the </w:t>
      </w:r>
      <w:r>
        <w:rPr>
          <w:rFonts w:ascii="Verdana" w:hAnsi="Verdana"/>
        </w:rPr>
        <w:t>following requirements are mandatory, and documentation must be uploaded to the application.</w:t>
      </w:r>
      <w:r w:rsidR="002349B6">
        <w:rPr>
          <w:rFonts w:ascii="Verdana" w:hAnsi="Verdana"/>
        </w:rPr>
        <w:t xml:space="preserve"> If documentation of the following is not uploaded to the application, the application will be disqualified.</w:t>
      </w:r>
    </w:p>
    <w:p w14:paraId="6E0B01B6" w14:textId="77777777" w:rsidR="00073686" w:rsidRDefault="00073686" w:rsidP="00FE1AC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Review this packet completely and sign at the end of the packet.</w:t>
      </w:r>
    </w:p>
    <w:p w14:paraId="374D874C" w14:textId="77777777" w:rsidR="00073686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Attend an informational session or meet with the Student Success Advisor.</w:t>
      </w:r>
    </w:p>
    <w:p w14:paraId="344C42E8" w14:textId="77777777" w:rsidR="00073686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Meet with the Associate Dean/Director of Nurses</w:t>
      </w:r>
    </w:p>
    <w:p w14:paraId="6CAF7F04" w14:textId="77777777" w:rsidR="00073686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Sign the 30-unit-option disclaimer with the Dean</w:t>
      </w:r>
    </w:p>
    <w:p w14:paraId="23A8BA43" w14:textId="77777777" w:rsidR="00073686" w:rsidRPr="00073686" w:rsidRDefault="002349B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Upload all documents to the application</w:t>
      </w:r>
    </w:p>
    <w:p w14:paraId="1AFE4EEB" w14:textId="77777777" w:rsidR="00073686" w:rsidRPr="00A11185" w:rsidRDefault="00073686" w:rsidP="008F021D">
      <w:pPr>
        <w:rPr>
          <w:rFonts w:ascii="Verdana" w:hAnsi="Verdana"/>
        </w:rPr>
      </w:pPr>
    </w:p>
    <w:p w14:paraId="29265827" w14:textId="77777777" w:rsidR="00495FF5" w:rsidRPr="00A11185" w:rsidRDefault="00495FF5" w:rsidP="008F021D">
      <w:pPr>
        <w:rPr>
          <w:rFonts w:ascii="Verdana" w:hAnsi="Verdana"/>
          <w:b/>
        </w:rPr>
      </w:pPr>
      <w:r w:rsidRPr="00A11185">
        <w:rPr>
          <w:rFonts w:ascii="Verdana" w:hAnsi="Verdana"/>
          <w:b/>
        </w:rPr>
        <w:t xml:space="preserve">The graduate of the Certificate of Achievement in </w:t>
      </w:r>
      <w:r w:rsidR="002349B6" w:rsidRPr="00A11185">
        <w:rPr>
          <w:rFonts w:ascii="Verdana" w:hAnsi="Verdana"/>
          <w:b/>
        </w:rPr>
        <w:t>Nursing:</w:t>
      </w:r>
      <w:r w:rsidRPr="00A11185">
        <w:rPr>
          <w:rFonts w:ascii="Verdana" w:hAnsi="Verdana"/>
          <w:b/>
        </w:rPr>
        <w:t xml:space="preserve"> 30-unit option will: </w:t>
      </w:r>
    </w:p>
    <w:p w14:paraId="3F108E49" w14:textId="77777777" w:rsidR="00495FF5" w:rsidRPr="00A11185" w:rsidRDefault="00495FF5" w:rsidP="008F021D">
      <w:pPr>
        <w:rPr>
          <w:rFonts w:ascii="Verdana" w:hAnsi="Verdana"/>
        </w:rPr>
      </w:pPr>
      <w:r w:rsidRPr="00A11185">
        <w:rPr>
          <w:rFonts w:ascii="Verdana" w:hAnsi="Verdana"/>
        </w:rPr>
        <w:t xml:space="preserve">1. Apply concepts and skills to successfully pass the National Council Licensure Exam for Registered Nurses (NCLEX-RN). </w:t>
      </w:r>
      <w:proofErr w:type="spellStart"/>
      <w:r w:rsidRPr="00A11185">
        <w:rPr>
          <w:rFonts w:ascii="Verdana" w:hAnsi="Verdana"/>
        </w:rPr>
        <w:t>Measureable</w:t>
      </w:r>
      <w:proofErr w:type="spellEnd"/>
      <w:r w:rsidRPr="00A11185">
        <w:rPr>
          <w:rFonts w:ascii="Verdana" w:hAnsi="Verdana"/>
        </w:rPr>
        <w:t xml:space="preserve"> Outcome: At least 80% of the SDCC Nursing Students will score at least 96% or greater predicted probability of passing the NCLEX on the ATI Comprehensive Predictor proctored exam on the first attempt.</w:t>
      </w:r>
    </w:p>
    <w:p w14:paraId="792F503F" w14:textId="77777777" w:rsidR="00495FF5" w:rsidRPr="00A11185" w:rsidRDefault="00495FF5" w:rsidP="008F021D">
      <w:pPr>
        <w:rPr>
          <w:rFonts w:ascii="Verdana" w:hAnsi="Verdana"/>
        </w:rPr>
      </w:pPr>
      <w:r w:rsidRPr="00A11185">
        <w:rPr>
          <w:rFonts w:ascii="Verdana" w:hAnsi="Verdana"/>
        </w:rPr>
        <w:t xml:space="preserve"> 2. Make clinical judgments and management decisions to ensure accurate and safe client care. </w:t>
      </w:r>
      <w:proofErr w:type="spellStart"/>
      <w:r w:rsidRPr="00A11185">
        <w:rPr>
          <w:rFonts w:ascii="Verdana" w:hAnsi="Verdana"/>
        </w:rPr>
        <w:t>Measureable</w:t>
      </w:r>
      <w:proofErr w:type="spellEnd"/>
      <w:r w:rsidRPr="00A11185">
        <w:rPr>
          <w:rFonts w:ascii="Verdana" w:hAnsi="Verdana"/>
        </w:rPr>
        <w:t xml:space="preserve"> Outcome: The group score in the areas of Health Promotion and Maintenance and Safety and Infection Control will remain 80% or greater on the ATI Comprehensive Predictor proctored exam on the first attempt. </w:t>
      </w:r>
    </w:p>
    <w:p w14:paraId="272676E7" w14:textId="77777777" w:rsidR="00495FF5" w:rsidRPr="00A11185" w:rsidRDefault="00495FF5" w:rsidP="008F021D">
      <w:pPr>
        <w:rPr>
          <w:rFonts w:ascii="Verdana" w:hAnsi="Verdana"/>
        </w:rPr>
      </w:pPr>
      <w:r w:rsidRPr="00A11185">
        <w:rPr>
          <w:rFonts w:ascii="Verdana" w:hAnsi="Verdana"/>
        </w:rPr>
        <w:t xml:space="preserve">3. Practice within the ethical, legal, and regulatory frameworks of the professional nursing practice. </w:t>
      </w:r>
      <w:proofErr w:type="spellStart"/>
      <w:r w:rsidRPr="00A11185">
        <w:rPr>
          <w:rFonts w:ascii="Verdana" w:hAnsi="Verdana"/>
        </w:rPr>
        <w:t>Measureable</w:t>
      </w:r>
      <w:proofErr w:type="spellEnd"/>
      <w:r w:rsidRPr="00A11185">
        <w:rPr>
          <w:rFonts w:ascii="Verdana" w:hAnsi="Verdana"/>
        </w:rPr>
        <w:t xml:space="preserve"> Outcome: The group score in the areas of Pharmacological and Parenteral Therapies and Reduction of Risk Potential will remain 80% or greater on the ATI Comprehensive Predictor proctored exam on the first attempt</w:t>
      </w:r>
    </w:p>
    <w:p w14:paraId="09AC32B2" w14:textId="77777777" w:rsidR="00495FF5" w:rsidRPr="00A11185" w:rsidRDefault="00495FF5" w:rsidP="008F021D">
      <w:pPr>
        <w:rPr>
          <w:rFonts w:ascii="Verdana" w:hAnsi="Verdana"/>
        </w:rPr>
      </w:pPr>
      <w:r w:rsidRPr="00A11185">
        <w:rPr>
          <w:rFonts w:ascii="Verdana" w:hAnsi="Verdana"/>
        </w:rPr>
        <w:t xml:space="preserve">. 4. Use standards of nursing practice to perform and evaluate client care in entry-level practice. </w:t>
      </w:r>
      <w:proofErr w:type="spellStart"/>
      <w:r w:rsidRPr="00A11185">
        <w:rPr>
          <w:rFonts w:ascii="Verdana" w:hAnsi="Verdana"/>
        </w:rPr>
        <w:t>Measureable</w:t>
      </w:r>
      <w:proofErr w:type="spellEnd"/>
      <w:r w:rsidRPr="00A11185">
        <w:rPr>
          <w:rFonts w:ascii="Verdana" w:hAnsi="Verdana"/>
        </w:rPr>
        <w:t xml:space="preserve"> Outcome: The group score in the areas of Basic Care and Comfort and Management of Care will remain 80% or greater on the ATI Comprehensive Predictor proctored exam on the first attempt. </w:t>
      </w:r>
    </w:p>
    <w:p w14:paraId="2E2181AD" w14:textId="77777777" w:rsidR="00495FF5" w:rsidRPr="00A11185" w:rsidRDefault="00495FF5" w:rsidP="008F021D">
      <w:pPr>
        <w:rPr>
          <w:rFonts w:ascii="Verdana" w:hAnsi="Verdana"/>
        </w:rPr>
      </w:pPr>
      <w:r w:rsidRPr="00A11185">
        <w:rPr>
          <w:rFonts w:ascii="Verdana" w:hAnsi="Verdana"/>
        </w:rPr>
        <w:t xml:space="preserve">5. Participate in life-long learning. </w:t>
      </w:r>
      <w:proofErr w:type="spellStart"/>
      <w:r w:rsidRPr="00A11185">
        <w:rPr>
          <w:rFonts w:ascii="Verdana" w:hAnsi="Verdana"/>
        </w:rPr>
        <w:t>Measureable</w:t>
      </w:r>
      <w:proofErr w:type="spellEnd"/>
      <w:r w:rsidRPr="00A11185">
        <w:rPr>
          <w:rFonts w:ascii="Verdana" w:hAnsi="Verdana"/>
        </w:rPr>
        <w:t xml:space="preserve"> Outcome: At least 25% of the program graduates will report enrollment into a baccalaureate nursing education and/or certification in the discipline of nursing within one-year of graduation. </w:t>
      </w:r>
    </w:p>
    <w:p w14:paraId="5678875D" w14:textId="77777777" w:rsidR="00A11185" w:rsidRPr="00A11185" w:rsidRDefault="00A11185" w:rsidP="008F021D">
      <w:pPr>
        <w:rPr>
          <w:rFonts w:ascii="Verdana" w:hAnsi="Verdana"/>
        </w:rPr>
      </w:pPr>
    </w:p>
    <w:p w14:paraId="68EDD97E" w14:textId="77777777" w:rsidR="00696FAC" w:rsidRDefault="002349B6" w:rsidP="008F021D">
      <w:pPr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="00696FAC">
        <w:rPr>
          <w:rFonts w:ascii="Verdana" w:hAnsi="Verdana"/>
          <w:b/>
        </w:rPr>
        <w:t xml:space="preserve">rogram Requirements: </w:t>
      </w:r>
    </w:p>
    <w:p w14:paraId="07BDA765" w14:textId="78779C7A" w:rsidR="00AF62D9" w:rsidRDefault="00AF62D9" w:rsidP="008F021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Students must pass the TEAS (Test of Essential Academic Skills) assessment test with </w:t>
      </w: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</w:t>
      </w:r>
      <w:r w:rsidR="004D52F6">
        <w:rPr>
          <w:rFonts w:ascii="Verdana" w:hAnsi="Verdana"/>
          <w:b/>
        </w:rPr>
        <w:t xml:space="preserve">80 </w:t>
      </w:r>
      <w:proofErr w:type="gramStart"/>
      <w:r w:rsidR="004D52F6">
        <w:rPr>
          <w:rFonts w:ascii="Verdana" w:hAnsi="Verdana"/>
          <w:b/>
        </w:rPr>
        <w:t xml:space="preserve">% </w:t>
      </w:r>
      <w:r>
        <w:rPr>
          <w:rFonts w:ascii="Verdana" w:hAnsi="Verdana"/>
          <w:b/>
        </w:rPr>
        <w:t xml:space="preserve"> overall</w:t>
      </w:r>
      <w:proofErr w:type="gramEnd"/>
      <w:r>
        <w:rPr>
          <w:rFonts w:ascii="Verdana" w:hAnsi="Verdana"/>
          <w:b/>
        </w:rPr>
        <w:t xml:space="preserve"> </w:t>
      </w:r>
      <w:proofErr w:type="gramStart"/>
      <w:r>
        <w:rPr>
          <w:rFonts w:ascii="Verdana" w:hAnsi="Verdana"/>
          <w:b/>
        </w:rPr>
        <w:t>score</w:t>
      </w:r>
      <w:r w:rsidR="004D52F6">
        <w:rPr>
          <w:rFonts w:ascii="Verdana" w:hAnsi="Verdana"/>
          <w:b/>
        </w:rPr>
        <w:t>( Effective</w:t>
      </w:r>
      <w:proofErr w:type="gramEnd"/>
      <w:r w:rsidR="004D52F6">
        <w:rPr>
          <w:rFonts w:ascii="Verdana" w:hAnsi="Verdana"/>
          <w:b/>
        </w:rPr>
        <w:t xml:space="preserve"> 10.1.2024).</w:t>
      </w:r>
      <w:r>
        <w:rPr>
          <w:rFonts w:ascii="Verdana" w:hAnsi="Verdana"/>
          <w:b/>
        </w:rPr>
        <w:t xml:space="preserve"> The TEAS 7 version will only be accepted.  </w:t>
      </w:r>
    </w:p>
    <w:p w14:paraId="11CB8165" w14:textId="77777777" w:rsidR="00696FAC" w:rsidRPr="002349B6" w:rsidRDefault="002349B6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lastRenderedPageBreak/>
        <w:t>30</w:t>
      </w:r>
      <w:r w:rsidR="00696FAC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 units is required for the certificate:</w:t>
      </w:r>
    </w:p>
    <w:p w14:paraId="472FBFE8" w14:textId="77777777" w:rsidR="00696FAC" w:rsidRPr="002349B6" w:rsidRDefault="00696FAC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Science Requirements:</w:t>
      </w:r>
    </w:p>
    <w:p w14:paraId="0DE1F450" w14:textId="77777777" w:rsidR="00696FAC" w:rsidRPr="002349B6" w:rsidRDefault="00696FAC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Course Number 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Units</w:t>
      </w:r>
    </w:p>
    <w:p w14:paraId="30664A0D" w14:textId="77777777" w:rsidR="00696FAC" w:rsidRPr="002349B6" w:rsidRDefault="005157F6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Biology 235 Physiology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4</w:t>
      </w:r>
      <w:r w:rsidR="00A11185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.0</w:t>
      </w:r>
      <w:r w:rsidR="00696FAC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696FAC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</w:p>
    <w:p w14:paraId="5F3395E9" w14:textId="77777777" w:rsidR="00696FAC" w:rsidRPr="002349B6" w:rsidRDefault="00696FAC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Biology 205 Microbiology </w:t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5157F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5</w:t>
      </w:r>
      <w:r w:rsidR="00A11185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.0</w:t>
      </w:r>
    </w:p>
    <w:p w14:paraId="123AD5E9" w14:textId="02538A0E" w:rsidR="005157F6" w:rsidRPr="004D52F6" w:rsidRDefault="005157F6" w:rsidP="008F021D">
      <w:pPr>
        <w:rPr>
          <w:rStyle w:val="Hyperlink"/>
          <w:rFonts w:ascii="Verdana" w:hAnsi="Verdana"/>
          <w:b/>
          <w:bCs/>
          <w:color w:val="auto"/>
          <w:sz w:val="24"/>
          <w:szCs w:val="24"/>
          <w:u w:val="none"/>
        </w:rPr>
      </w:pPr>
      <w:r w:rsidRPr="004D52F6">
        <w:rPr>
          <w:rStyle w:val="Hyperlink"/>
          <w:rFonts w:ascii="Verdana" w:hAnsi="Verdana"/>
          <w:b/>
          <w:bCs/>
          <w:color w:val="auto"/>
          <w:sz w:val="24"/>
          <w:szCs w:val="24"/>
          <w:u w:val="none"/>
        </w:rPr>
        <w:t xml:space="preserve">Spring Semester </w:t>
      </w:r>
    </w:p>
    <w:p w14:paraId="762D11B3" w14:textId="77777777" w:rsidR="00A11185" w:rsidRPr="002349B6" w:rsidRDefault="005157F6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NRSE 235 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LVN to RN Transition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="002349B6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2</w:t>
      </w:r>
      <w:r w:rsidR="00A11185"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.0</w:t>
      </w:r>
    </w:p>
    <w:p w14:paraId="1EDA5440" w14:textId="77777777" w:rsidR="00A11185" w:rsidRPr="004D52F6" w:rsidRDefault="00A11185" w:rsidP="008F021D">
      <w:pPr>
        <w:rPr>
          <w:rStyle w:val="Hyperlink"/>
          <w:rFonts w:ascii="Verdana" w:hAnsi="Verdana"/>
          <w:b/>
          <w:bCs/>
          <w:color w:val="auto"/>
          <w:sz w:val="24"/>
          <w:szCs w:val="24"/>
          <w:u w:val="none"/>
        </w:rPr>
      </w:pPr>
      <w:r w:rsidRPr="004D52F6">
        <w:rPr>
          <w:rStyle w:val="Hyperlink"/>
          <w:rFonts w:ascii="Verdana" w:hAnsi="Verdana"/>
          <w:b/>
          <w:bCs/>
          <w:color w:val="auto"/>
          <w:sz w:val="24"/>
          <w:szCs w:val="24"/>
          <w:u w:val="none"/>
        </w:rPr>
        <w:t xml:space="preserve">Fall Semester </w:t>
      </w:r>
    </w:p>
    <w:p w14:paraId="38DEE13C" w14:textId="77777777" w:rsidR="00A11185" w:rsidRPr="002349B6" w:rsidRDefault="00A11185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NRSE 240 Medical/Surgical Nursing III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4.5</w:t>
      </w:r>
    </w:p>
    <w:p w14:paraId="5973874C" w14:textId="77777777" w:rsidR="00A11185" w:rsidRPr="002349B6" w:rsidRDefault="00A11185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NRSE 242 Mental Health and Gerontological Nursing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4.5</w:t>
      </w:r>
    </w:p>
    <w:p w14:paraId="401A59E8" w14:textId="77777777" w:rsidR="00A11185" w:rsidRPr="002349B6" w:rsidRDefault="00A11185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Spring Semester </w:t>
      </w:r>
    </w:p>
    <w:p w14:paraId="4DF7F751" w14:textId="77777777" w:rsidR="00A11185" w:rsidRPr="002349B6" w:rsidRDefault="00A11185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NRSE 244 Medical/Surgical Nursing IV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4.5</w:t>
      </w:r>
    </w:p>
    <w:p w14:paraId="3CD7B6B1" w14:textId="77777777" w:rsidR="00A11185" w:rsidRDefault="00A11185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NRSE 246 Leadership in Nursing 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4.5</w:t>
      </w:r>
    </w:p>
    <w:p w14:paraId="44A832DB" w14:textId="2E35540F" w:rsidR="004D52F6" w:rsidRDefault="004D52F6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Total </w:t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 xml:space="preserve">       29.0</w:t>
      </w:r>
    </w:p>
    <w:p w14:paraId="072DEAB4" w14:textId="77777777" w:rsidR="004D52F6" w:rsidRPr="002349B6" w:rsidRDefault="004D52F6" w:rsidP="004D52F6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>NRSE 92 Nursing Student Success (optional)</w:t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</w:r>
      <w:r w:rsidRPr="002349B6">
        <w:rPr>
          <w:rStyle w:val="Hyperlink"/>
          <w:rFonts w:ascii="Verdana" w:hAnsi="Verdana"/>
          <w:color w:val="auto"/>
          <w:sz w:val="24"/>
          <w:szCs w:val="24"/>
          <w:u w:val="none"/>
        </w:rPr>
        <w:tab/>
        <w:t>1.0</w:t>
      </w:r>
    </w:p>
    <w:p w14:paraId="3A887D17" w14:textId="77777777" w:rsidR="002349B6" w:rsidRPr="002349B6" w:rsidRDefault="002349B6" w:rsidP="008F021D">
      <w:pPr>
        <w:rPr>
          <w:rStyle w:val="Hyperlink"/>
          <w:rFonts w:ascii="Verdana" w:hAnsi="Verdana"/>
          <w:color w:val="auto"/>
          <w:sz w:val="24"/>
          <w:szCs w:val="24"/>
          <w:u w:val="none"/>
        </w:rPr>
      </w:pPr>
    </w:p>
    <w:p w14:paraId="2133BE90" w14:textId="77777777" w:rsidR="002349B6" w:rsidRDefault="002349B6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I acknowledge that I have read and understand the requirements in this document:</w:t>
      </w:r>
    </w:p>
    <w:p w14:paraId="592260AB" w14:textId="77777777" w:rsidR="002349B6" w:rsidRDefault="002349B6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Student Name____________________________</w:t>
      </w:r>
    </w:p>
    <w:p w14:paraId="16E36F78" w14:textId="77777777" w:rsidR="002349B6" w:rsidRDefault="002349B6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Signature: _______________________________</w:t>
      </w:r>
    </w:p>
    <w:p w14:paraId="2E37FEED" w14:textId="77777777" w:rsidR="00FE1AC2" w:rsidRDefault="00FE1AC2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  <w:t>Date:____________</w:t>
      </w:r>
    </w:p>
    <w:p w14:paraId="66246A87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0CCD0DB4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00B7704E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1EAD6D08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75580D05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4FA0CE10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24AEBED4" w14:textId="77777777" w:rsidR="0005350D" w:rsidRDefault="0005350D" w:rsidP="008F021D">
      <w:pPr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</w:p>
    <w:p w14:paraId="353B83A5" w14:textId="77777777" w:rsidR="00FE1AC2" w:rsidRPr="001C4A28" w:rsidRDefault="00FE1AC2" w:rsidP="00FE1AC2">
      <w:pPr>
        <w:jc w:val="center"/>
        <w:rPr>
          <w:rFonts w:ascii="Verdana" w:hAnsi="Verdana"/>
        </w:rPr>
      </w:pPr>
      <w:r w:rsidRPr="001C4A28">
        <w:rPr>
          <w:rFonts w:ascii="Verdana" w:hAnsi="Verdana"/>
        </w:rPr>
        <w:t>San Diego City College Nursing Education Program</w:t>
      </w:r>
    </w:p>
    <w:p w14:paraId="47361799" w14:textId="77777777" w:rsidR="00FE1AC2" w:rsidRPr="001C4A28" w:rsidRDefault="00FE1AC2" w:rsidP="00FE1AC2">
      <w:pPr>
        <w:jc w:val="center"/>
        <w:rPr>
          <w:rFonts w:ascii="Verdana" w:hAnsi="Verdana"/>
          <w:b/>
        </w:rPr>
      </w:pPr>
      <w:r w:rsidRPr="001C4A28">
        <w:rPr>
          <w:rFonts w:ascii="Verdana" w:hAnsi="Verdana"/>
          <w:b/>
        </w:rPr>
        <w:t>Licensed Vocational Nurse</w:t>
      </w:r>
    </w:p>
    <w:p w14:paraId="01342D71" w14:textId="77777777" w:rsidR="00FE1AC2" w:rsidRPr="001C4A28" w:rsidRDefault="00FE1AC2" w:rsidP="00FE1AC2">
      <w:pPr>
        <w:jc w:val="center"/>
        <w:rPr>
          <w:rFonts w:ascii="Verdana" w:hAnsi="Verdana"/>
          <w:b/>
        </w:rPr>
      </w:pPr>
      <w:r w:rsidRPr="001C4A28">
        <w:rPr>
          <w:rFonts w:ascii="Verdana" w:hAnsi="Verdana"/>
          <w:b/>
        </w:rPr>
        <w:t>30-Unit-Option Program</w:t>
      </w:r>
    </w:p>
    <w:p w14:paraId="49BFE7E5" w14:textId="77777777" w:rsidR="00FE1AC2" w:rsidRPr="001C4A28" w:rsidRDefault="00FE1AC2" w:rsidP="00FE1AC2">
      <w:pPr>
        <w:jc w:val="center"/>
        <w:rPr>
          <w:rFonts w:ascii="Verdana" w:hAnsi="Verdana"/>
          <w:b/>
        </w:rPr>
      </w:pPr>
      <w:r w:rsidRPr="001C4A28">
        <w:rPr>
          <w:rFonts w:ascii="Verdana" w:hAnsi="Verdana"/>
          <w:b/>
        </w:rPr>
        <w:t>(Non-Degree)</w:t>
      </w:r>
    </w:p>
    <w:p w14:paraId="62301D99" w14:textId="77777777" w:rsidR="00FE1AC2" w:rsidRPr="001C4A28" w:rsidRDefault="00FE1AC2" w:rsidP="00FE1AC2">
      <w:pPr>
        <w:rPr>
          <w:rFonts w:ascii="Verdana" w:hAnsi="Verdana"/>
        </w:rPr>
      </w:pPr>
      <w:r w:rsidRPr="001C4A28">
        <w:rPr>
          <w:rFonts w:ascii="Verdana" w:hAnsi="Verdana"/>
        </w:rPr>
        <w:t xml:space="preserve">The 30-unit- option is available to a Licensed Vocational Nurse in the state of California </w:t>
      </w:r>
      <w:r>
        <w:rPr>
          <w:rFonts w:ascii="Verdana" w:hAnsi="Verdana"/>
        </w:rPr>
        <w:t>who</w:t>
      </w:r>
      <w:r w:rsidRPr="001C4A28">
        <w:rPr>
          <w:rFonts w:ascii="Verdana" w:hAnsi="Verdana"/>
        </w:rPr>
        <w:t xml:space="preserve"> holds a current valid license. The program is prescribed by the California Board of Registered Nursing (BRN) and provides a Registered Nurse (RN) license for California only. The college acts as a facilitator. A maximum of 30 units of nursing and support courses are required to </w:t>
      </w:r>
      <w:r>
        <w:rPr>
          <w:rFonts w:ascii="Verdana" w:hAnsi="Verdana"/>
        </w:rPr>
        <w:t>fulfill</w:t>
      </w:r>
      <w:r w:rsidRPr="001C4A28">
        <w:rPr>
          <w:rFonts w:ascii="Verdana" w:hAnsi="Verdana"/>
        </w:rPr>
        <w:t xml:space="preserve"> the unit requirement for licensure by the California BRN. </w:t>
      </w:r>
    </w:p>
    <w:p w14:paraId="6AEC60FA" w14:textId="77777777" w:rsidR="00FE1AC2" w:rsidRPr="001C4A28" w:rsidRDefault="00FE1AC2" w:rsidP="00FE1AC2">
      <w:pPr>
        <w:rPr>
          <w:rFonts w:ascii="Verdana" w:hAnsi="Verdana"/>
        </w:rPr>
      </w:pPr>
      <w:r w:rsidRPr="001C4A28">
        <w:rPr>
          <w:rFonts w:ascii="Verdana" w:hAnsi="Verdana"/>
        </w:rPr>
        <w:t>If the student selects this option, this form must accompany the application to</w:t>
      </w:r>
      <w:r>
        <w:rPr>
          <w:rFonts w:ascii="Verdana" w:hAnsi="Verdana"/>
        </w:rPr>
        <w:t xml:space="preserve"> the nursing education program.</w:t>
      </w:r>
    </w:p>
    <w:p w14:paraId="09515454" w14:textId="77777777" w:rsidR="00FE1AC2" w:rsidRPr="001C4A28" w:rsidRDefault="00FE1AC2" w:rsidP="00FE1AC2">
      <w:pPr>
        <w:jc w:val="center"/>
        <w:rPr>
          <w:rFonts w:ascii="Verdana" w:hAnsi="Verdana"/>
          <w:b/>
        </w:rPr>
      </w:pPr>
      <w:r w:rsidRPr="001C4A28">
        <w:rPr>
          <w:rFonts w:ascii="Verdana" w:hAnsi="Verdana"/>
          <w:b/>
        </w:rPr>
        <w:t>30-Unit-Option Disclaimer</w:t>
      </w:r>
    </w:p>
    <w:p w14:paraId="101CD796" w14:textId="77777777" w:rsidR="00FE1AC2" w:rsidRPr="001C4A28" w:rsidRDefault="00FE1AC2" w:rsidP="00FE1AC2">
      <w:pPr>
        <w:rPr>
          <w:rFonts w:ascii="Verdana" w:hAnsi="Verdana"/>
        </w:rPr>
      </w:pPr>
      <w:r w:rsidRPr="001C4A28">
        <w:rPr>
          <w:rFonts w:ascii="Verdana" w:hAnsi="Verdana"/>
        </w:rPr>
        <w:t>In signing below I am acknowledging that I have been advised of the following possible ramifications in selecting the 30-Unit-Option as a route to advance to RN.</w:t>
      </w:r>
    </w:p>
    <w:p w14:paraId="3D874A64" w14:textId="77777777" w:rsidR="00FE1AC2" w:rsidRPr="001C4A28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C4A28">
        <w:rPr>
          <w:rFonts w:ascii="Verdana" w:hAnsi="Verdana"/>
        </w:rPr>
        <w:t xml:space="preserve">Licensure as an RN (per the </w:t>
      </w:r>
      <w:r>
        <w:rPr>
          <w:rFonts w:ascii="Verdana" w:hAnsi="Verdana"/>
        </w:rPr>
        <w:t>30-unit option</w:t>
      </w:r>
      <w:r w:rsidRPr="001C4A28">
        <w:rPr>
          <w:rFonts w:ascii="Verdana" w:hAnsi="Verdana"/>
        </w:rPr>
        <w:t>) is for the State of California ONLY.</w:t>
      </w:r>
    </w:p>
    <w:p w14:paraId="0A3DC150" w14:textId="77777777" w:rsidR="00FE1AC2" w:rsidRPr="001C4A28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C4A28">
        <w:rPr>
          <w:rFonts w:ascii="Verdana" w:hAnsi="Verdana"/>
        </w:rPr>
        <w:t>If the National Council Licensure Examination (NCLEX)- RN examination is taken upon completion of the 30-Unit-Option ( Non-Degree Program) you will be considered a non-graduate of the RN program for the duration of your license.</w:t>
      </w:r>
    </w:p>
    <w:p w14:paraId="7E2DCB83" w14:textId="77777777" w:rsidR="00FE1AC2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C4A28">
        <w:rPr>
          <w:rFonts w:ascii="Verdana" w:hAnsi="Verdana"/>
        </w:rPr>
        <w:t xml:space="preserve">Upon completion of this option, An Associate Degree in Nursing (ADN) will </w:t>
      </w:r>
      <w:r w:rsidRPr="001C4A28">
        <w:rPr>
          <w:rFonts w:ascii="Verdana" w:hAnsi="Verdana"/>
          <w:b/>
        </w:rPr>
        <w:t>NOT</w:t>
      </w:r>
      <w:r w:rsidRPr="001C4A28">
        <w:rPr>
          <w:rFonts w:ascii="Verdana" w:hAnsi="Verdana"/>
        </w:rPr>
        <w:t xml:space="preserve"> be granted. The school is only the facilitator of the minimum requirements needed to apply for the NCLEX-RN exam. A degree in General Education or other majors may be obtained at any time.</w:t>
      </w:r>
    </w:p>
    <w:p w14:paraId="3DE55C4C" w14:textId="77777777" w:rsidR="00FE1AC2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Employment may be limited, For example, Veterans Administration Hospitals or the military require that an RN have an ADN and/or Bachelor of Science in Nursing (BSN) for employment/commissions respectively. </w:t>
      </w:r>
    </w:p>
    <w:p w14:paraId="2312A541" w14:textId="77777777" w:rsidR="00FE1AC2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It is uncertain whether BSN programs will accept a 30-Unit-Option RN from California for admission.</w:t>
      </w:r>
    </w:p>
    <w:p w14:paraId="1D5A79B2" w14:textId="77777777" w:rsidR="00FE1AC2" w:rsidRDefault="00FE1AC2" w:rsidP="00FE1AC2">
      <w:pPr>
        <w:rPr>
          <w:rFonts w:ascii="Verdana" w:hAnsi="Verdana"/>
        </w:rPr>
      </w:pPr>
      <w:r>
        <w:rPr>
          <w:rFonts w:ascii="Verdana" w:hAnsi="Verdana"/>
        </w:rPr>
        <w:t>Student Name;_________________________________</w:t>
      </w:r>
    </w:p>
    <w:p w14:paraId="32FB554A" w14:textId="77777777" w:rsidR="00FE1AC2" w:rsidRDefault="00FE1AC2" w:rsidP="00FE1AC2">
      <w:pPr>
        <w:rPr>
          <w:rFonts w:ascii="Verdana" w:hAnsi="Verdana"/>
        </w:rPr>
      </w:pPr>
      <w:r>
        <w:rPr>
          <w:rFonts w:ascii="Verdana" w:hAnsi="Verdana"/>
        </w:rPr>
        <w:t>Student Signature:______________________________</w:t>
      </w:r>
    </w:p>
    <w:p w14:paraId="6F03D77D" w14:textId="77777777" w:rsidR="00FE1AC2" w:rsidRDefault="00FE1AC2" w:rsidP="00FE1AC2">
      <w:pPr>
        <w:rPr>
          <w:rFonts w:ascii="Verdana" w:hAnsi="Verdana"/>
        </w:rPr>
      </w:pPr>
      <w:r>
        <w:rPr>
          <w:rFonts w:ascii="Verdana" w:hAnsi="Verdana"/>
        </w:rPr>
        <w:t>Date:________________</w:t>
      </w:r>
    </w:p>
    <w:p w14:paraId="016ECDED" w14:textId="66899E2E" w:rsidR="004779AE" w:rsidRDefault="004779AE" w:rsidP="00FE1AC2">
      <w:pPr>
        <w:rPr>
          <w:rFonts w:ascii="Verdana" w:hAnsi="Verdana"/>
        </w:rPr>
      </w:pPr>
    </w:p>
    <w:p w14:paraId="77EEA06F" w14:textId="77777777" w:rsidR="0005350D" w:rsidRDefault="0005350D" w:rsidP="00FE1AC2">
      <w:pPr>
        <w:rPr>
          <w:rFonts w:ascii="Verdana" w:hAnsi="Verdana"/>
        </w:rPr>
      </w:pPr>
    </w:p>
    <w:tbl>
      <w:tblPr>
        <w:tblStyle w:val="TableGrid"/>
        <w:tblW w:w="10461" w:type="dxa"/>
        <w:tblInd w:w="-635" w:type="dxa"/>
        <w:tblLook w:val="04A0" w:firstRow="1" w:lastRow="0" w:firstColumn="1" w:lastColumn="0" w:noHBand="0" w:noVBand="1"/>
      </w:tblPr>
      <w:tblGrid>
        <w:gridCol w:w="3633"/>
        <w:gridCol w:w="1858"/>
        <w:gridCol w:w="4970"/>
      </w:tblGrid>
      <w:tr w:rsidR="0005350D" w:rsidRPr="00494D17" w14:paraId="7AB63F4F" w14:textId="77777777" w:rsidTr="00BA5EDB">
        <w:trPr>
          <w:trHeight w:val="375"/>
        </w:trPr>
        <w:tc>
          <w:tcPr>
            <w:tcW w:w="10461" w:type="dxa"/>
            <w:gridSpan w:val="3"/>
          </w:tcPr>
          <w:p w14:paraId="3644DE9E" w14:textId="77777777" w:rsidR="0005350D" w:rsidRPr="00494D17" w:rsidRDefault="0005350D" w:rsidP="00BA5EDB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lastRenderedPageBreak/>
              <w:t>CHANCELLOR’S OFFICE Multi-Criteria Point System</w:t>
            </w:r>
          </w:p>
          <w:p w14:paraId="0B1D363B" w14:textId="77777777" w:rsidR="0005350D" w:rsidRPr="00494D17" w:rsidRDefault="0005350D" w:rsidP="00BA5EDB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CALIFORNIA COMMUNITY COLLEGE IN COORDINATION WITH NURSING ADVISORY COMMITTEE (3 CNAC)</w:t>
            </w:r>
          </w:p>
        </w:tc>
      </w:tr>
      <w:tr w:rsidR="0005350D" w:rsidRPr="00494D17" w14:paraId="2F436924" w14:textId="77777777" w:rsidTr="00BA5EDB">
        <w:trPr>
          <w:trHeight w:val="53"/>
        </w:trPr>
        <w:tc>
          <w:tcPr>
            <w:tcW w:w="3633" w:type="dxa"/>
          </w:tcPr>
          <w:p w14:paraId="3CA7BDA6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CRITERIA</w:t>
            </w:r>
          </w:p>
        </w:tc>
        <w:tc>
          <w:tcPr>
            <w:tcW w:w="1858" w:type="dxa"/>
          </w:tcPr>
          <w:p w14:paraId="0A235E34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100 POINTS POSSIBLE</w:t>
            </w:r>
          </w:p>
        </w:tc>
        <w:tc>
          <w:tcPr>
            <w:tcW w:w="4970" w:type="dxa"/>
          </w:tcPr>
          <w:p w14:paraId="09E19CA7" w14:textId="5854B86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 xml:space="preserve">EXAMPLE OF POINT </w:t>
            </w:r>
            <w:r w:rsidR="00D3285F">
              <w:rPr>
                <w:rFonts w:ascii="Verdana" w:hAnsi="Verdana" w:cstheme="minorHAnsi"/>
                <w:sz w:val="24"/>
                <w:szCs w:val="24"/>
              </w:rPr>
              <w:t>DISTRIBUTION</w:t>
            </w:r>
          </w:p>
        </w:tc>
      </w:tr>
      <w:tr w:rsidR="0005350D" w:rsidRPr="00494D17" w14:paraId="723B3741" w14:textId="77777777" w:rsidTr="00BA5EDB">
        <w:trPr>
          <w:trHeight w:val="1538"/>
        </w:trPr>
        <w:tc>
          <w:tcPr>
            <w:tcW w:w="3633" w:type="dxa"/>
          </w:tcPr>
          <w:p w14:paraId="482565F1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Academic degrees or college diplomas, or relevant certificates held by an applicant</w:t>
            </w:r>
          </w:p>
          <w:p w14:paraId="5DC49C8D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14:paraId="5AB6AA6F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15 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points maximum</w:t>
            </w:r>
          </w:p>
        </w:tc>
        <w:tc>
          <w:tcPr>
            <w:tcW w:w="4970" w:type="dxa"/>
          </w:tcPr>
          <w:p w14:paraId="2CB53CAB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Points are awarded for degrees earned in the United States from a regionally accredited college only.</w:t>
            </w:r>
          </w:p>
          <w:p w14:paraId="3FE52584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Academic </w:t>
            </w:r>
            <w:r w:rsidRPr="000B5B68">
              <w:rPr>
                <w:rFonts w:ascii="Verdana" w:hAnsi="Verdana" w:cstheme="minorHAnsi"/>
                <w:b/>
                <w:sz w:val="24"/>
                <w:szCs w:val="24"/>
              </w:rPr>
              <w:t>degree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</w:t>
            </w:r>
            <w:r w:rsidRPr="000B5B68">
              <w:rPr>
                <w:rFonts w:ascii="Verdana" w:hAnsi="Verdana" w:cstheme="minorHAnsi"/>
                <w:b/>
                <w:sz w:val="24"/>
                <w:szCs w:val="24"/>
              </w:rPr>
              <w:t>(Associates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, Bachelor’s, </w:t>
            </w:r>
            <w:r w:rsidRPr="000B5B68">
              <w:rPr>
                <w:rFonts w:ascii="Verdana" w:hAnsi="Verdana" w:cstheme="minorHAnsi"/>
                <w:b/>
                <w:sz w:val="24"/>
                <w:szCs w:val="24"/>
              </w:rPr>
              <w:t>Master’s) =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10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points </w:t>
            </w:r>
          </w:p>
          <w:p w14:paraId="54DD1809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College diploma (3-year degree) = 5 points</w:t>
            </w:r>
          </w:p>
          <w:p w14:paraId="40EFFE5E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LVN License =5 points (must be current)</w:t>
            </w:r>
          </w:p>
          <w:p w14:paraId="51FE219B" w14:textId="77777777" w:rsidR="0005350D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CNA License or Allied Health Certificate = 5 points (must be current)</w:t>
            </w:r>
          </w:p>
          <w:p w14:paraId="1D5C1FC3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Corpsman=5 points (must provide document)</w:t>
            </w:r>
          </w:p>
        </w:tc>
      </w:tr>
      <w:tr w:rsidR="0005350D" w:rsidRPr="00494D17" w14:paraId="28D7A469" w14:textId="77777777" w:rsidTr="00BA5EDB">
        <w:trPr>
          <w:trHeight w:val="3113"/>
        </w:trPr>
        <w:tc>
          <w:tcPr>
            <w:tcW w:w="3633" w:type="dxa"/>
          </w:tcPr>
          <w:p w14:paraId="64C3BA63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Grade Point Average in relevant coursework</w:t>
            </w:r>
          </w:p>
          <w:p w14:paraId="43D258E2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77A8A5AC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1BE8B3F1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494BF326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01BBE767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20A911CB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858" w:type="dxa"/>
          </w:tcPr>
          <w:p w14:paraId="111C5525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20 points maximum</w:t>
            </w:r>
          </w:p>
          <w:p w14:paraId="06FB1FFF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6B072BE9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0D2C8548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0001C38C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5EB781A9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40F62C41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3F0C849E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14:paraId="5E48746B" w14:textId="673BD535" w:rsidR="0005350D" w:rsidRPr="00494D17" w:rsidRDefault="0005350D" w:rsidP="00BA5EDB">
            <w:pPr>
              <w:spacing w:line="238" w:lineRule="auto"/>
              <w:ind w:left="1"/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Minimum </w:t>
            </w:r>
            <w:proofErr w:type="gramStart"/>
            <w:r w:rsidR="00D3285F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3.0 </w:t>
            </w: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 GPA</w:t>
            </w:r>
            <w:proofErr w:type="gramEnd"/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in  Physiology</w:t>
            </w:r>
            <w:proofErr w:type="gramEnd"/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, and Microbiology. </w:t>
            </w:r>
          </w:p>
          <w:p w14:paraId="1CA7109A" w14:textId="77777777" w:rsidR="0005350D" w:rsidRPr="00494D17" w:rsidRDefault="0005350D" w:rsidP="00BA5EDB">
            <w:pPr>
              <w:spacing w:line="259" w:lineRule="auto"/>
              <w:ind w:left="1"/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 xml:space="preserve">GPA =4.0:          20 points </w:t>
            </w:r>
          </w:p>
          <w:p w14:paraId="5034B4B8" w14:textId="77777777" w:rsidR="0005350D" w:rsidRPr="00494D17" w:rsidRDefault="0005350D" w:rsidP="00BA5EDB">
            <w:pPr>
              <w:spacing w:line="259" w:lineRule="auto"/>
              <w:ind w:left="1"/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 xml:space="preserve">GPA=3.5- </w:t>
            </w:r>
            <w:r w:rsidRPr="005C1EB5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>3.99 18</w:t>
            </w: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 xml:space="preserve"> points </w:t>
            </w:r>
          </w:p>
          <w:p w14:paraId="1105C958" w14:textId="77777777" w:rsidR="0005350D" w:rsidRPr="00494D17" w:rsidRDefault="0005350D" w:rsidP="00BA5EDB">
            <w:pPr>
              <w:spacing w:line="259" w:lineRule="auto"/>
              <w:ind w:left="1"/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 xml:space="preserve">GPA 3.0- 3.49:  16 points </w:t>
            </w:r>
          </w:p>
          <w:p w14:paraId="2609E7EC" w14:textId="312E0BF6" w:rsidR="0005350D" w:rsidRPr="00494D17" w:rsidRDefault="0005350D" w:rsidP="00BA5EDB">
            <w:pPr>
              <w:spacing w:line="259" w:lineRule="auto"/>
              <w:ind w:left="1"/>
              <w:rPr>
                <w:rFonts w:ascii="Verdana" w:hAnsi="Verdana" w:cstheme="minorHAnsi"/>
                <w:sz w:val="24"/>
                <w:szCs w:val="24"/>
              </w:rPr>
            </w:pPr>
          </w:p>
          <w:p w14:paraId="65130FFD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  <w:p w14:paraId="27595326" w14:textId="77777777" w:rsidR="0005350D" w:rsidRPr="00494D17" w:rsidRDefault="0005350D" w:rsidP="00BA5EDB">
            <w:pPr>
              <w:spacing w:line="259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3CB0E2F" w14:textId="77777777" w:rsidR="0005350D" w:rsidRDefault="0005350D" w:rsidP="0005350D">
      <w:pPr>
        <w:spacing w:line="238" w:lineRule="auto"/>
        <w:rPr>
          <w:rFonts w:ascii="Verdana" w:hAnsi="Verdana" w:cstheme="minorHAnsi"/>
          <w:sz w:val="24"/>
          <w:szCs w:val="24"/>
        </w:rPr>
        <w:sectPr w:rsidR="0005350D" w:rsidSect="000535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461" w:type="dxa"/>
        <w:tblInd w:w="-635" w:type="dxa"/>
        <w:tblLook w:val="04A0" w:firstRow="1" w:lastRow="0" w:firstColumn="1" w:lastColumn="0" w:noHBand="0" w:noVBand="1"/>
      </w:tblPr>
      <w:tblGrid>
        <w:gridCol w:w="3633"/>
        <w:gridCol w:w="1858"/>
        <w:gridCol w:w="4970"/>
      </w:tblGrid>
      <w:tr w:rsidR="0005350D" w:rsidRPr="00494D17" w14:paraId="5FA83D4A" w14:textId="77777777" w:rsidTr="00BA5EDB">
        <w:trPr>
          <w:trHeight w:val="511"/>
        </w:trPr>
        <w:tc>
          <w:tcPr>
            <w:tcW w:w="3633" w:type="dxa"/>
          </w:tcPr>
          <w:p w14:paraId="4FEC0A33" w14:textId="77777777" w:rsidR="0005350D" w:rsidRPr="00494D17" w:rsidRDefault="0005350D" w:rsidP="00BA5EDB">
            <w:pPr>
              <w:spacing w:line="238" w:lineRule="auto"/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 TEAS (Assessment/Readiness Test results in Test of Essential Academic Skills</w:t>
            </w:r>
          </w:p>
          <w:p w14:paraId="2D501A60" w14:textId="77777777" w:rsidR="0005350D" w:rsidRPr="00494D17" w:rsidRDefault="0005350D" w:rsidP="00BA5EDB">
            <w:pPr>
              <w:spacing w:line="259" w:lineRule="auto"/>
              <w:ind w:right="8"/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 xml:space="preserve"> ATI TEAS only (TEAS 6 will be accepted until the application period of 2023). </w:t>
            </w:r>
          </w:p>
        </w:tc>
        <w:tc>
          <w:tcPr>
            <w:tcW w:w="1858" w:type="dxa"/>
          </w:tcPr>
          <w:p w14:paraId="7510922A" w14:textId="06540D64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3</w:t>
            </w:r>
            <w:r w:rsidR="00C87279">
              <w:rPr>
                <w:rFonts w:ascii="Verdana" w:hAnsi="Verdana" w:cstheme="minorHAnsi"/>
                <w:b/>
                <w:sz w:val="24"/>
                <w:szCs w:val="24"/>
              </w:rPr>
              <w:t>5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points maximum</w:t>
            </w:r>
          </w:p>
        </w:tc>
        <w:tc>
          <w:tcPr>
            <w:tcW w:w="4970" w:type="dxa"/>
          </w:tcPr>
          <w:p w14:paraId="17C4456E" w14:textId="0E906E3A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20 points will be awarded for a TEAS Test 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that has an overall score of </w:t>
            </w:r>
            <w:r w:rsidR="00575149">
              <w:rPr>
                <w:rFonts w:ascii="Verdana" w:hAnsi="Verdana" w:cstheme="minorHAnsi"/>
                <w:b/>
                <w:sz w:val="24"/>
                <w:szCs w:val="24"/>
              </w:rPr>
              <w:t>80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% or higher. </w:t>
            </w:r>
          </w:p>
        </w:tc>
      </w:tr>
      <w:tr w:rsidR="0005350D" w:rsidRPr="00494D17" w14:paraId="1A3AA4A4" w14:textId="77777777" w:rsidTr="00BA5EDB">
        <w:trPr>
          <w:trHeight w:val="50"/>
        </w:trPr>
        <w:tc>
          <w:tcPr>
            <w:tcW w:w="3633" w:type="dxa"/>
          </w:tcPr>
          <w:p w14:paraId="54441FCA" w14:textId="77777777" w:rsidR="0005350D" w:rsidRPr="00494D17" w:rsidRDefault="0005350D" w:rsidP="00BA5EDB">
            <w:pPr>
              <w:spacing w:line="259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Documented proficiency or advanced level of coursework in languages other than English.</w:t>
            </w:r>
          </w:p>
        </w:tc>
        <w:tc>
          <w:tcPr>
            <w:tcW w:w="1858" w:type="dxa"/>
          </w:tcPr>
          <w:p w14:paraId="54847567" w14:textId="77777777" w:rsidR="0005350D" w:rsidRPr="00494D17" w:rsidRDefault="0005350D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10 Points maximum</w:t>
            </w:r>
          </w:p>
        </w:tc>
        <w:tc>
          <w:tcPr>
            <w:tcW w:w="4970" w:type="dxa"/>
          </w:tcPr>
          <w:p w14:paraId="7898D545" w14:textId="77777777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 xml:space="preserve">10 points total for the ability to communicate in a health care setting in a language other than English, including American Sign Language. Provide upper-division language course information. Provide proof on transcripts and the </w:t>
            </w:r>
            <w:r w:rsidRPr="00494D17">
              <w:rPr>
                <w:rFonts w:ascii="Verdana" w:hAnsi="Verdana" w:cstheme="minorHAnsi"/>
                <w:b/>
                <w:sz w:val="24"/>
                <w:szCs w:val="24"/>
              </w:rPr>
              <w:t>SDCC language certification form</w:t>
            </w:r>
          </w:p>
        </w:tc>
      </w:tr>
      <w:tr w:rsidR="0005350D" w:rsidRPr="00494D17" w14:paraId="0A4FFA27" w14:textId="77777777" w:rsidTr="00BA5EDB">
        <w:trPr>
          <w:trHeight w:val="3095"/>
        </w:trPr>
        <w:tc>
          <w:tcPr>
            <w:tcW w:w="3633" w:type="dxa"/>
          </w:tcPr>
          <w:p w14:paraId="4067AC91" w14:textId="6378BFF9" w:rsidR="0005350D" w:rsidRPr="00494D17" w:rsidRDefault="0005350D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Life experience or special circumstances of an applicant, including but not limited to the following: </w:t>
            </w:r>
          </w:p>
          <w:p w14:paraId="645411B6" w14:textId="31B9E79D" w:rsidR="0005350D" w:rsidRPr="00494D17" w:rsidRDefault="00C87279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a</w:t>
            </w:r>
            <w:r w:rsidR="0005350D"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. Disabilities</w:t>
            </w:r>
          </w:p>
          <w:p w14:paraId="0838678F" w14:textId="2CA49603" w:rsidR="0005350D" w:rsidRDefault="0005350D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c. </w:t>
            </w:r>
            <w:r w:rsidR="00C87279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Difficult personal</w:t>
            </w:r>
          </w:p>
          <w:p w14:paraId="00660AB7" w14:textId="52D8C040" w:rsidR="00C87279" w:rsidRDefault="00C87279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c. Family circumstances </w:t>
            </w:r>
          </w:p>
          <w:p w14:paraId="1AC93B90" w14:textId="6BE36B57" w:rsidR="00C87279" w:rsidRDefault="00C87279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(Optional)</w:t>
            </w:r>
          </w:p>
          <w:p w14:paraId="62BD98B3" w14:textId="77777777" w:rsidR="00C87279" w:rsidRPr="00494D17" w:rsidRDefault="00C87279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</w:p>
          <w:p w14:paraId="3B56C78E" w14:textId="35B64FFC" w:rsidR="0005350D" w:rsidRPr="00494D17" w:rsidRDefault="0005350D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B325CC5" w14:textId="4894DAF7" w:rsidR="0005350D" w:rsidRPr="00494D17" w:rsidRDefault="00C87279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0</w:t>
            </w:r>
            <w:r w:rsidR="0005350D"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points maximum</w:t>
            </w:r>
          </w:p>
        </w:tc>
        <w:tc>
          <w:tcPr>
            <w:tcW w:w="4970" w:type="dxa"/>
          </w:tcPr>
          <w:p w14:paraId="0F1DEE69" w14:textId="0E99DDA6" w:rsidR="0005350D" w:rsidRPr="00494D17" w:rsidRDefault="0005350D" w:rsidP="00BA5EDB">
            <w:pPr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05350D" w:rsidRPr="00494D17" w14:paraId="3478419D" w14:textId="77777777" w:rsidTr="00BA5EDB">
        <w:trPr>
          <w:trHeight w:val="1250"/>
        </w:trPr>
        <w:tc>
          <w:tcPr>
            <w:tcW w:w="3633" w:type="dxa"/>
          </w:tcPr>
          <w:p w14:paraId="393C7300" w14:textId="77777777" w:rsidR="0005350D" w:rsidRPr="00494D17" w:rsidRDefault="0005350D" w:rsidP="00BA5EDB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</w:pPr>
            <w:r w:rsidRPr="000B5B68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>Relevant health</w:t>
            </w: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-related work or volunteer experience </w:t>
            </w:r>
            <w:r w:rsidRPr="00494D17">
              <w:rPr>
                <w:rFonts w:ascii="Verdana" w:eastAsia="Times New Roman" w:hAnsi="Verdana" w:cstheme="minorHAnsi"/>
                <w:b/>
                <w:color w:val="000000"/>
                <w:sz w:val="24"/>
                <w:szCs w:val="24"/>
              </w:rPr>
              <w:t>Must be a minimum of 100 hours in the past three years</w:t>
            </w:r>
            <w:r w:rsidRPr="00494D17">
              <w:rPr>
                <w:rFonts w:ascii="Verdana" w:eastAsia="Times New Roman" w:hAnsi="Verdana" w:cs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58" w:type="dxa"/>
          </w:tcPr>
          <w:p w14:paraId="5F148FC1" w14:textId="0D01EF33" w:rsidR="0005350D" w:rsidRPr="00494D17" w:rsidRDefault="00C87279" w:rsidP="00BA5EDB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20</w:t>
            </w:r>
            <w:r w:rsidR="0005350D" w:rsidRPr="00494D17">
              <w:rPr>
                <w:rFonts w:ascii="Verdana" w:hAnsi="Verdana" w:cstheme="minorHAnsi"/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4970" w:type="dxa"/>
          </w:tcPr>
          <w:p w14:paraId="32DBC744" w14:textId="1D2D7D70" w:rsidR="0005350D" w:rsidRPr="00494D17" w:rsidRDefault="00575149" w:rsidP="00BA5EDB">
            <w:pPr>
              <w:rPr>
                <w:rFonts w:ascii="Verdana" w:hAnsi="Verdana" w:cstheme="minorHAnsi"/>
                <w:sz w:val="24"/>
                <w:szCs w:val="24"/>
              </w:rPr>
            </w:pPr>
            <w:r w:rsidRPr="00494D17">
              <w:rPr>
                <w:rFonts w:ascii="Verdana" w:hAnsi="Verdana" w:cstheme="minorHAnsi"/>
                <w:sz w:val="24"/>
                <w:szCs w:val="24"/>
              </w:rPr>
              <w:t>It must</w:t>
            </w:r>
            <w:r w:rsidR="0005350D" w:rsidRPr="00494D17">
              <w:rPr>
                <w:rFonts w:ascii="Verdana" w:hAnsi="Verdana" w:cstheme="minorHAnsi"/>
                <w:sz w:val="24"/>
                <w:szCs w:val="24"/>
              </w:rPr>
              <w:t xml:space="preserve"> be documented on the </w:t>
            </w:r>
            <w:r w:rsidR="0005350D" w:rsidRPr="00494D17">
              <w:rPr>
                <w:rFonts w:ascii="Verdana" w:hAnsi="Verdana" w:cstheme="minorHAnsi"/>
                <w:b/>
                <w:sz w:val="24"/>
                <w:szCs w:val="24"/>
              </w:rPr>
              <w:t>work/volunteer certification</w:t>
            </w:r>
            <w:r w:rsidR="0005350D" w:rsidRPr="00494D17">
              <w:rPr>
                <w:rFonts w:ascii="Verdana" w:hAnsi="Verdana" w:cstheme="minorHAnsi"/>
                <w:sz w:val="24"/>
                <w:szCs w:val="24"/>
              </w:rPr>
              <w:t xml:space="preserve"> form.</w:t>
            </w:r>
          </w:p>
        </w:tc>
      </w:tr>
    </w:tbl>
    <w:p w14:paraId="18A153F1" w14:textId="77777777" w:rsidR="007E52DD" w:rsidRDefault="007E52DD" w:rsidP="00575149">
      <w:pPr>
        <w:rPr>
          <w:rFonts w:ascii="Verdana" w:hAnsi="Verdana"/>
        </w:rPr>
      </w:pPr>
    </w:p>
    <w:sectPr w:rsidR="007E52D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EBD2" w14:textId="77777777" w:rsidR="0043250A" w:rsidRDefault="0043250A" w:rsidP="008F021D">
      <w:pPr>
        <w:spacing w:after="0" w:line="240" w:lineRule="auto"/>
      </w:pPr>
      <w:r>
        <w:separator/>
      </w:r>
    </w:p>
  </w:endnote>
  <w:endnote w:type="continuationSeparator" w:id="0">
    <w:p w14:paraId="03E1073D" w14:textId="77777777" w:rsidR="0043250A" w:rsidRDefault="0043250A" w:rsidP="008F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CAB1" w14:textId="77777777" w:rsidR="00BC592C" w:rsidRDefault="00BC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F07D" w14:textId="44B38A2F" w:rsidR="0005350D" w:rsidRDefault="0005350D">
    <w:pPr>
      <w:pStyle w:val="Footer"/>
    </w:pPr>
    <w:r>
      <w:t xml:space="preserve">LVN </w:t>
    </w:r>
    <w:proofErr w:type="gramStart"/>
    <w:r>
      <w:t>30 unit</w:t>
    </w:r>
    <w:proofErr w:type="gramEnd"/>
    <w:r>
      <w:t xml:space="preserve"> option 10.</w:t>
    </w:r>
    <w:r w:rsidR="00BC7AAD">
      <w:t>31.2024</w:t>
    </w:r>
    <w:r w:rsidR="0086796C">
      <w:t xml:space="preserve"> updated 11.2024</w:t>
    </w:r>
    <w:r w:rsidR="00BC592C">
      <w:t xml:space="preserve"> updated 8.19.2025</w:t>
    </w:r>
  </w:p>
  <w:p w14:paraId="1FC7D61C" w14:textId="77777777" w:rsidR="0005350D" w:rsidRDefault="00053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4D1" w14:textId="77777777" w:rsidR="00BC592C" w:rsidRDefault="00BC59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160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02672" w14:textId="64BAC766" w:rsidR="00575149" w:rsidRDefault="00575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66B4F" w14:textId="3A5E75F6" w:rsidR="004779AE" w:rsidRDefault="00477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D8DA" w14:textId="77777777" w:rsidR="0043250A" w:rsidRDefault="0043250A" w:rsidP="008F021D">
      <w:pPr>
        <w:spacing w:after="0" w:line="240" w:lineRule="auto"/>
      </w:pPr>
      <w:r>
        <w:separator/>
      </w:r>
    </w:p>
  </w:footnote>
  <w:footnote w:type="continuationSeparator" w:id="0">
    <w:p w14:paraId="321E6E11" w14:textId="77777777" w:rsidR="0043250A" w:rsidRDefault="0043250A" w:rsidP="008F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7731" w14:textId="77777777" w:rsidR="00BC592C" w:rsidRDefault="00BC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B5A7" w14:textId="0E852B11" w:rsidR="0005350D" w:rsidRDefault="00287E2A" w:rsidP="0005350D">
    <w:pPr>
      <w:pStyle w:val="Header"/>
      <w:rPr>
        <w:b/>
        <w:caps/>
      </w:rPr>
    </w:pPr>
    <w:r>
      <w:rPr>
        <w:b/>
        <w:caps/>
      </w:rPr>
      <w:ptab w:relativeTo="margin" w:alignment="center" w:leader="none"/>
    </w:r>
    <w:r>
      <w:rPr>
        <w:b/>
        <w:caps/>
      </w:rPr>
      <w:t>San Diego City college nursing education program</w:t>
    </w:r>
  </w:p>
  <w:p w14:paraId="7F3ABFA1" w14:textId="211AF5F0" w:rsidR="00287E2A" w:rsidRPr="0045442E" w:rsidRDefault="00287E2A" w:rsidP="0005350D">
    <w:pPr>
      <w:pStyle w:val="Header"/>
      <w:rPr>
        <w:b/>
        <w:caps/>
      </w:rPr>
    </w:pPr>
    <w:r>
      <w:rPr>
        <w:b/>
        <w:caps/>
      </w:rPr>
      <w:ptab w:relativeTo="margin" w:alignment="center" w:leader="none"/>
    </w:r>
    <w:r>
      <w:rPr>
        <w:b/>
        <w:caps/>
      </w:rPr>
      <w:t>LVN-RN 30 unit option multi-criteria point system</w:t>
    </w:r>
  </w:p>
  <w:p w14:paraId="62BE89AE" w14:textId="77777777" w:rsidR="0005350D" w:rsidRDefault="00053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9C00" w14:textId="77777777" w:rsidR="00BC592C" w:rsidRDefault="00BC59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D049" w14:textId="7084820D" w:rsidR="008F021D" w:rsidRDefault="008F021D" w:rsidP="008F021D">
    <w:pPr>
      <w:pStyle w:val="Header"/>
      <w:jc w:val="center"/>
    </w:pPr>
  </w:p>
  <w:p w14:paraId="6C5E472D" w14:textId="77777777" w:rsidR="008F021D" w:rsidRDefault="008F021D" w:rsidP="008F021D">
    <w:pPr>
      <w:pStyle w:val="Header"/>
      <w:jc w:val="center"/>
    </w:pPr>
  </w:p>
  <w:p w14:paraId="77DD6E33" w14:textId="77777777" w:rsidR="008F021D" w:rsidRDefault="008F0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381"/>
    <w:multiLevelType w:val="hybridMultilevel"/>
    <w:tmpl w:val="9406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C684A"/>
    <w:multiLevelType w:val="hybridMultilevel"/>
    <w:tmpl w:val="FF68E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2997932">
    <w:abstractNumId w:val="1"/>
  </w:num>
  <w:num w:numId="2" w16cid:durableId="213517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szCyMDAwNjA3M7FQ0lEKTi0uzszPAykwrgUApxVgKSwAAAA="/>
  </w:docVars>
  <w:rsids>
    <w:rsidRoot w:val="008F021D"/>
    <w:rsid w:val="0005350D"/>
    <w:rsid w:val="00073686"/>
    <w:rsid w:val="001475A3"/>
    <w:rsid w:val="001B1FA8"/>
    <w:rsid w:val="002349B6"/>
    <w:rsid w:val="00287E2A"/>
    <w:rsid w:val="003F3BF4"/>
    <w:rsid w:val="0043250A"/>
    <w:rsid w:val="004779AE"/>
    <w:rsid w:val="00495FF5"/>
    <w:rsid w:val="004D52F6"/>
    <w:rsid w:val="00514FD8"/>
    <w:rsid w:val="005157F6"/>
    <w:rsid w:val="00575149"/>
    <w:rsid w:val="00696FAC"/>
    <w:rsid w:val="006F500A"/>
    <w:rsid w:val="00700D06"/>
    <w:rsid w:val="007064CF"/>
    <w:rsid w:val="007877AA"/>
    <w:rsid w:val="007E52DD"/>
    <w:rsid w:val="007F2A9F"/>
    <w:rsid w:val="007F4BF3"/>
    <w:rsid w:val="00810A5F"/>
    <w:rsid w:val="00811F6B"/>
    <w:rsid w:val="0086796C"/>
    <w:rsid w:val="008F021D"/>
    <w:rsid w:val="009A3436"/>
    <w:rsid w:val="009B33EC"/>
    <w:rsid w:val="009C2CED"/>
    <w:rsid w:val="00A01370"/>
    <w:rsid w:val="00A07EA6"/>
    <w:rsid w:val="00A11185"/>
    <w:rsid w:val="00AD52B3"/>
    <w:rsid w:val="00AF62D9"/>
    <w:rsid w:val="00B83C48"/>
    <w:rsid w:val="00BC592C"/>
    <w:rsid w:val="00BC7AAD"/>
    <w:rsid w:val="00C87279"/>
    <w:rsid w:val="00C97C4F"/>
    <w:rsid w:val="00CD000B"/>
    <w:rsid w:val="00CD2FD0"/>
    <w:rsid w:val="00D30E37"/>
    <w:rsid w:val="00D3285F"/>
    <w:rsid w:val="00D405EE"/>
    <w:rsid w:val="00E44C9A"/>
    <w:rsid w:val="00F837A6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2B3E4"/>
  <w15:chartTrackingRefBased/>
  <w15:docId w15:val="{A3598319-B138-4F45-BC12-69E4387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21D"/>
  </w:style>
  <w:style w:type="paragraph" w:styleId="Footer">
    <w:name w:val="footer"/>
    <w:basedOn w:val="Normal"/>
    <w:link w:val="FooterChar"/>
    <w:uiPriority w:val="99"/>
    <w:unhideWhenUsed/>
    <w:rsid w:val="008F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21D"/>
  </w:style>
  <w:style w:type="character" w:styleId="Hyperlink">
    <w:name w:val="Hyperlink"/>
    <w:basedOn w:val="DefaultParagraphFont"/>
    <w:uiPriority w:val="99"/>
    <w:unhideWhenUsed/>
    <w:rsid w:val="008F02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nursing@sdccd.ed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dcity.edu/academics/schools-programs/math-sci-nurse/nursing/index.aspx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n.ca.gov/contact.s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1287</Words>
  <Characters>7500</Characters>
  <Application>Microsoft Office Word</Application>
  <DocSecurity>0</DocSecurity>
  <Lines>238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Community College District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Susan Smith</cp:lastModifiedBy>
  <cp:revision>22</cp:revision>
  <cp:lastPrinted>2025-03-05T20:29:00Z</cp:lastPrinted>
  <dcterms:created xsi:type="dcterms:W3CDTF">2023-12-11T23:13:00Z</dcterms:created>
  <dcterms:modified xsi:type="dcterms:W3CDTF">2025-08-22T17:09:00Z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3899b415-9631-4123-9f65-5574579b8171</vt:lpwstr>
  </property>
</Properties>
</file>